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9AF4" w14:textId="662174A7" w:rsidR="001209F9" w:rsidRPr="00143962" w:rsidRDefault="001209F9" w:rsidP="001209F9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noProof/>
        </w:rPr>
      </w:pPr>
    </w:p>
    <w:p w14:paraId="1DFD95FD" w14:textId="12E8EC4D" w:rsidR="00CE122F" w:rsidRPr="00917EBD" w:rsidRDefault="00CE122F" w:rsidP="00CE122F">
      <w:pPr>
        <w:jc w:val="center"/>
        <w:rPr>
          <w:rFonts w:ascii="Times New Roman" w:hAnsi="Times New Roman" w:cs="Mangal"/>
          <w:b/>
          <w:color w:val="auto"/>
          <w:spacing w:val="-10"/>
          <w:kern w:val="28"/>
          <w:sz w:val="32"/>
          <w:szCs w:val="32"/>
          <w:lang w:eastAsia="en-US"/>
        </w:rPr>
      </w:pPr>
      <w:r w:rsidRPr="00917EBD">
        <w:rPr>
          <w:rFonts w:ascii="Times New Roman" w:hAnsi="Times New Roman" w:cs="Mangal"/>
          <w:b/>
          <w:color w:val="auto"/>
          <w:spacing w:val="-10"/>
          <w:kern w:val="28"/>
          <w:sz w:val="32"/>
          <w:szCs w:val="32"/>
          <w:lang w:eastAsia="en-US"/>
        </w:rPr>
        <w:t>PROGRAM SUFINANCIRANJA RADA REGIONALNIH ORGANIZACIJA VINARA I VINOGRADARA</w:t>
      </w:r>
      <w:r w:rsidR="00CC229C">
        <w:rPr>
          <w:rFonts w:ascii="Times New Roman" w:hAnsi="Times New Roman" w:cs="Mangal"/>
          <w:b/>
          <w:color w:val="auto"/>
          <w:spacing w:val="-10"/>
          <w:kern w:val="28"/>
          <w:sz w:val="32"/>
          <w:szCs w:val="32"/>
          <w:lang w:eastAsia="en-US"/>
        </w:rPr>
        <w:t xml:space="preserve"> ZA RAZDOBLJE OD 2024. DO 2026. GODINE</w:t>
      </w:r>
    </w:p>
    <w:p w14:paraId="246FD444" w14:textId="77777777" w:rsidR="00CE122F" w:rsidRPr="00917EBD" w:rsidRDefault="00CE122F" w:rsidP="00CE122F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712F07DF" w14:textId="77777777" w:rsidR="00CE122F" w:rsidRPr="00917EBD" w:rsidRDefault="00CE122F" w:rsidP="00CE122F">
      <w:pPr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17EBD">
        <w:rPr>
          <w:rFonts w:ascii="Times New Roman" w:hAnsi="Times New Roman" w:cs="Times New Roman"/>
          <w:b/>
          <w:bCs/>
          <w:color w:val="auto"/>
          <w:sz w:val="28"/>
          <w:szCs w:val="28"/>
        </w:rPr>
        <w:t>DIO I.</w:t>
      </w:r>
    </w:p>
    <w:p w14:paraId="344DE7AE" w14:textId="77777777" w:rsidR="00CE122F" w:rsidRPr="00917EBD" w:rsidRDefault="00CE122F" w:rsidP="00CE122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17EB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Opći dio</w:t>
      </w:r>
    </w:p>
    <w:p w14:paraId="2BBDC6D1" w14:textId="77777777" w:rsidR="00CE122F" w:rsidRPr="00917EBD" w:rsidRDefault="00CE122F" w:rsidP="00CE122F">
      <w:pPr>
        <w:spacing w:before="240" w:after="60"/>
        <w:outlineLvl w:val="0"/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</w:pPr>
      <w:r w:rsidRPr="00917EBD"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  <w:t xml:space="preserve">1. UVOD </w:t>
      </w:r>
    </w:p>
    <w:p w14:paraId="2A811A24" w14:textId="77777777" w:rsidR="00CE122F" w:rsidRPr="00917EBD" w:rsidRDefault="00CE122F" w:rsidP="00CE122F">
      <w:pPr>
        <w:spacing w:before="120" w:after="120"/>
        <w:jc w:val="both"/>
        <w:rPr>
          <w:rFonts w:ascii="Times New Roman" w:eastAsia="Calibri" w:hAnsi="Times New Roman" w:cs="Times New Roman"/>
          <w:color w:val="auto"/>
        </w:rPr>
      </w:pPr>
      <w:r w:rsidRPr="00917EBD">
        <w:rPr>
          <w:rFonts w:ascii="Times New Roman" w:eastAsia="Calibri" w:hAnsi="Times New Roman" w:cs="Times New Roman"/>
          <w:color w:val="auto"/>
        </w:rPr>
        <w:t>U skladu s člankom 51. stavkom 1. Zakona o vinu (</w:t>
      </w:r>
      <w:r w:rsidRPr="00917EBD">
        <w:rPr>
          <w:rFonts w:ascii="Times New Roman" w:hAnsi="Times New Roman" w:cs="Times New Roman"/>
          <w:color w:val="201F1E"/>
          <w:shd w:val="clear" w:color="auto" w:fill="FFFFFF"/>
        </w:rPr>
        <w:t>»</w:t>
      </w:r>
      <w:r w:rsidRPr="00917EBD">
        <w:rPr>
          <w:rFonts w:ascii="Times New Roman" w:eastAsia="Calibri" w:hAnsi="Times New Roman" w:cs="Times New Roman"/>
          <w:color w:val="auto"/>
        </w:rPr>
        <w:t>Narodne novine</w:t>
      </w:r>
      <w:bookmarkStart w:id="0" w:name="_Hlk61463998"/>
      <w:r w:rsidRPr="00917EBD">
        <w:rPr>
          <w:rFonts w:ascii="Times New Roman" w:hAnsi="Times New Roman" w:cs="Times New Roman"/>
          <w:color w:val="201F1E"/>
          <w:shd w:val="clear" w:color="auto" w:fill="FFFFFF"/>
        </w:rPr>
        <w:t>«</w:t>
      </w:r>
      <w:r w:rsidRPr="00917EBD">
        <w:rPr>
          <w:rFonts w:ascii="Times New Roman" w:hAnsi="Times New Roman" w:cs="Times New Roman"/>
          <w:color w:val="auto"/>
        </w:rPr>
        <w:t>,</w:t>
      </w:r>
      <w:bookmarkEnd w:id="0"/>
      <w:r w:rsidRPr="00917EBD">
        <w:rPr>
          <w:rFonts w:ascii="Times New Roman" w:eastAsia="Calibri" w:hAnsi="Times New Roman" w:cs="Times New Roman"/>
          <w:color w:val="auto"/>
        </w:rPr>
        <w:t xml:space="preserve"> broj 32/19.) (u daljnjem tekstu: Zakon) regionalne organizacije vinara i vinogradara (u daljnjem tekstu: regionalne organizacije) okupljaju fizičke ili pravne osobe koje se bave proizvodnjom grožđa i/ili mošta i/ili vina, a organizirane su po principu vinogradarskih regija iz članka 7. stavka 4. Zakona u jednu regionalnu organizaciju za svaku pojedinu regiju.</w:t>
      </w:r>
    </w:p>
    <w:p w14:paraId="35D4A53B" w14:textId="77777777" w:rsidR="00CE122F" w:rsidRPr="00917EBD" w:rsidRDefault="00CE122F" w:rsidP="00CE122F">
      <w:p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917EBD">
        <w:rPr>
          <w:rFonts w:ascii="Times New Roman" w:hAnsi="Times New Roman" w:cs="Times New Roman"/>
          <w:color w:val="auto"/>
        </w:rPr>
        <w:t xml:space="preserve">Regionalne organizacije promoviraju vinare iz svoje regije, upravljaju sustavom marketinškog označavanja vina, donose interne akte iz članka 53. stavka 4. i članka 54. stavka 3. Zakona, predlažu članove Komisije za organoleptičko ocjenjivanje na razini regije i </w:t>
      </w:r>
      <w:proofErr w:type="spellStart"/>
      <w:r w:rsidRPr="00917EBD">
        <w:rPr>
          <w:rFonts w:ascii="Times New Roman" w:hAnsi="Times New Roman" w:cs="Times New Roman"/>
          <w:color w:val="auto"/>
        </w:rPr>
        <w:t>podregija</w:t>
      </w:r>
      <w:proofErr w:type="spellEnd"/>
      <w:r w:rsidRPr="00917EBD">
        <w:rPr>
          <w:rFonts w:ascii="Times New Roman" w:hAnsi="Times New Roman" w:cs="Times New Roman"/>
          <w:color w:val="auto"/>
        </w:rPr>
        <w:t xml:space="preserve"> u skladu s člankom 82. stavkom 6. Zakona, surađuju s regionalnim uredima Hrvatske agencije za poljoprivredu i hranu i razmjenjuju podatke, pružaju tehničku i stručnu podršku vinarima u zaštiti, širenju i korištenju zaštićenih oznaka i izraza ili samostalno poduzimaju aktivnosti vezano za zaštitu oznaka vina.</w:t>
      </w:r>
    </w:p>
    <w:p w14:paraId="39D38D38" w14:textId="77777777" w:rsidR="00CE122F" w:rsidRPr="00917EBD" w:rsidRDefault="00CE122F" w:rsidP="00CE122F">
      <w:pPr>
        <w:spacing w:before="240" w:after="60"/>
        <w:outlineLvl w:val="0"/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</w:pPr>
      <w:r w:rsidRPr="00917EBD"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  <w:t>2. CILJ PROGRAMA</w:t>
      </w:r>
    </w:p>
    <w:p w14:paraId="03DD6D72" w14:textId="3390F1DE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 xml:space="preserve">Programom </w:t>
      </w:r>
      <w:r w:rsidRPr="00917EBD">
        <w:rPr>
          <w:rFonts w:ascii="Times New Roman" w:hAnsi="Times New Roman" w:cs="Times New Roman"/>
        </w:rPr>
        <w:t xml:space="preserve">sufinanciranja rada </w:t>
      </w:r>
      <w:bookmarkStart w:id="1" w:name="_Hlk61267970"/>
      <w:r w:rsidRPr="00917EBD">
        <w:rPr>
          <w:rFonts w:ascii="Times New Roman" w:hAnsi="Times New Roman" w:cs="Times New Roman"/>
        </w:rPr>
        <w:t xml:space="preserve">regionalnih organizacija </w:t>
      </w:r>
      <w:bookmarkEnd w:id="1"/>
      <w:r w:rsidR="00CC229C" w:rsidRPr="00CC229C">
        <w:rPr>
          <w:rFonts w:ascii="Times New Roman" w:hAnsi="Times New Roman" w:cs="Times New Roman"/>
        </w:rPr>
        <w:t xml:space="preserve">za razdoblje od 2024. do 2026. godine </w:t>
      </w:r>
      <w:r w:rsidR="00CC229C">
        <w:rPr>
          <w:rFonts w:ascii="Times New Roman" w:hAnsi="Times New Roman" w:cs="Times New Roman"/>
        </w:rPr>
        <w:t xml:space="preserve">(U daljnjem tekstu: Program) </w:t>
      </w:r>
      <w:r w:rsidRPr="00917EBD">
        <w:rPr>
          <w:rFonts w:ascii="Times New Roman" w:hAnsi="Times New Roman" w:cs="Times New Roman"/>
        </w:rPr>
        <w:t>osiguravaju se sredstva za rad regionalnih organizacija priznatih u skladu s člankom 51. stavkom 3. Zakona, odnosno aktivnosti koje regionalne organizacije provode u skladu s člankom 52. stavkom 2. Zakona.</w:t>
      </w:r>
    </w:p>
    <w:p w14:paraId="60BC688F" w14:textId="77777777" w:rsidR="00CE122F" w:rsidRPr="00917EBD" w:rsidRDefault="00CE122F" w:rsidP="00CE122F">
      <w:p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917EBD">
        <w:rPr>
          <w:rFonts w:ascii="Times New Roman" w:hAnsi="Times New Roman" w:cs="Times New Roman"/>
          <w:color w:val="auto"/>
        </w:rPr>
        <w:t>Cilj ovoga Programa potpore je podržati aktivnosti koje doprinose povećanju udjela vina sa zaštićenim oznakama te promicanje održive i okolišno prihvatljive poljoprivrede.</w:t>
      </w:r>
    </w:p>
    <w:p w14:paraId="37040DFE" w14:textId="77777777" w:rsidR="00CE122F" w:rsidRPr="00917EBD" w:rsidRDefault="00CE122F" w:rsidP="00CE122F">
      <w:pPr>
        <w:spacing w:before="240" w:after="60"/>
        <w:outlineLvl w:val="0"/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</w:pPr>
      <w:r w:rsidRPr="00917EBD"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  <w:t>3. PRAVNA OSNOVA</w:t>
      </w:r>
    </w:p>
    <w:p w14:paraId="31998D29" w14:textId="0A0705E8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17EBD">
        <w:rPr>
          <w:rFonts w:ascii="Times New Roman" w:eastAsia="Calibri" w:hAnsi="Times New Roman" w:cs="Times New Roman"/>
          <w:color w:val="auto"/>
          <w:lang w:eastAsia="en-US"/>
        </w:rPr>
        <w:t xml:space="preserve">Pravni temelj za donošenje ovoga Programa je članak 39. </w:t>
      </w:r>
      <w:r w:rsidR="000131D5">
        <w:rPr>
          <w:rFonts w:ascii="Times New Roman" w:eastAsia="Calibri" w:hAnsi="Times New Roman" w:cs="Times New Roman"/>
          <w:color w:val="auto"/>
          <w:lang w:eastAsia="en-US"/>
        </w:rPr>
        <w:t xml:space="preserve">stavak 2. </w:t>
      </w:r>
      <w:r w:rsidRPr="00917EBD">
        <w:rPr>
          <w:rFonts w:ascii="Times New Roman" w:eastAsia="Calibri" w:hAnsi="Times New Roman" w:cs="Times New Roman"/>
          <w:color w:val="auto"/>
          <w:lang w:eastAsia="en-US"/>
        </w:rPr>
        <w:t>Zakona o poljoprivredi (»Narodne novine«, br. 118/18., 42/20., 127/20.</w:t>
      </w:r>
      <w:r w:rsidR="000131D5" w:rsidRPr="000131D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0131D5" w:rsidRPr="00917EBD">
        <w:rPr>
          <w:rFonts w:ascii="Times New Roman" w:eastAsia="Calibri" w:hAnsi="Times New Roman" w:cs="Times New Roman"/>
          <w:color w:val="auto"/>
          <w:lang w:eastAsia="en-US"/>
        </w:rPr>
        <w:t>– Odluka Ustavnog suda Republike Hrvatske, 52/21. i 152/22.</w:t>
      </w:r>
      <w:r w:rsidRPr="00917EBD">
        <w:rPr>
          <w:rFonts w:ascii="Times New Roman" w:eastAsia="Calibri" w:hAnsi="Times New Roman" w:cs="Times New Roman"/>
          <w:color w:val="auto"/>
          <w:lang w:eastAsia="en-US"/>
        </w:rPr>
        <w:t>).</w:t>
      </w:r>
    </w:p>
    <w:p w14:paraId="6AC92719" w14:textId="77777777" w:rsidR="00CE122F" w:rsidRPr="00917EBD" w:rsidRDefault="00CE122F" w:rsidP="00CE122F">
      <w:pPr>
        <w:spacing w:before="240" w:after="60"/>
        <w:outlineLvl w:val="0"/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</w:pPr>
      <w:r w:rsidRPr="00917EBD"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  <w:t xml:space="preserve">4. TRAJANJE PROGRAMA </w:t>
      </w:r>
    </w:p>
    <w:p w14:paraId="41EDD5AE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 xml:space="preserve">Program se provodi u 2024., 2025. i 2026. godini. </w:t>
      </w:r>
    </w:p>
    <w:p w14:paraId="5C2B47C1" w14:textId="77777777" w:rsidR="00CE122F" w:rsidRPr="00917EBD" w:rsidRDefault="00CE122F" w:rsidP="00CE122F">
      <w:pPr>
        <w:spacing w:before="120" w:after="120"/>
        <w:rPr>
          <w:rFonts w:ascii="Times New Roman" w:hAnsi="Times New Roman" w:cs="Times New Roman"/>
          <w:color w:val="auto"/>
          <w:sz w:val="32"/>
          <w:szCs w:val="32"/>
        </w:rPr>
      </w:pPr>
      <w:r w:rsidRPr="00917EBD">
        <w:rPr>
          <w:rFonts w:ascii="Times New Roman" w:hAnsi="Times New Roman" w:cs="Times New Roman"/>
          <w:color w:val="auto"/>
          <w:sz w:val="32"/>
          <w:szCs w:val="32"/>
        </w:rPr>
        <w:br w:type="page"/>
      </w:r>
    </w:p>
    <w:p w14:paraId="036CA543" w14:textId="77777777" w:rsidR="00CE122F" w:rsidRPr="00917EBD" w:rsidRDefault="00CE122F" w:rsidP="00CE122F">
      <w:pPr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17EB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DIO II.</w:t>
      </w:r>
    </w:p>
    <w:p w14:paraId="7A0CAF43" w14:textId="77777777" w:rsidR="00CE122F" w:rsidRPr="00917EBD" w:rsidRDefault="00CE122F" w:rsidP="00CE122F">
      <w:pPr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17EB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Sufinanciranje rada regionalnih organizacija iz </w:t>
      </w:r>
      <w:r w:rsidRPr="00936D44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de </w:t>
      </w:r>
      <w:proofErr w:type="spellStart"/>
      <w:r w:rsidRPr="00936D44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minimis</w:t>
      </w:r>
      <w:proofErr w:type="spellEnd"/>
      <w:r w:rsidRPr="00917EB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potpora</w:t>
      </w:r>
    </w:p>
    <w:p w14:paraId="53AC98D2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F6F9751" w14:textId="77777777" w:rsidR="00CE122F" w:rsidRPr="00917EBD" w:rsidRDefault="00CE122F" w:rsidP="00CE122F">
      <w:pPr>
        <w:spacing w:before="240" w:after="60"/>
        <w:outlineLvl w:val="0"/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</w:pPr>
      <w:r w:rsidRPr="00917EBD"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  <w:t xml:space="preserve">5. FINANCIJSKA SREDSTVA ZA PROVEDBU PROGRAMA </w:t>
      </w:r>
    </w:p>
    <w:p w14:paraId="35B1A188" w14:textId="6FA822A9" w:rsidR="00E102DC" w:rsidRPr="00917EBD" w:rsidRDefault="00E102DC" w:rsidP="00E102DC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17EBD">
        <w:rPr>
          <w:rFonts w:ascii="Times New Roman" w:eastAsia="Calibri" w:hAnsi="Times New Roman" w:cs="Times New Roman"/>
          <w:color w:val="auto"/>
          <w:lang w:eastAsia="en-US"/>
        </w:rPr>
        <w:t xml:space="preserve">Financijska sredstva iz ovoga Dijela dodjeljuju se u skladu s Uredbom Komisije (EU) br. </w:t>
      </w:r>
      <w:r>
        <w:rPr>
          <w:rFonts w:ascii="Times New Roman" w:eastAsia="Calibri" w:hAnsi="Times New Roman" w:cs="Times New Roman"/>
          <w:color w:val="auto"/>
          <w:lang w:eastAsia="en-US"/>
        </w:rPr>
        <w:t>2023/2831</w:t>
      </w:r>
      <w:r w:rsidRPr="00917EBD">
        <w:rPr>
          <w:rFonts w:ascii="Times New Roman" w:eastAsia="Calibri" w:hAnsi="Times New Roman" w:cs="Times New Roman"/>
          <w:color w:val="auto"/>
          <w:lang w:eastAsia="en-US"/>
        </w:rPr>
        <w:t xml:space="preserve"> od 1</w:t>
      </w:r>
      <w:r>
        <w:rPr>
          <w:rFonts w:ascii="Times New Roman" w:eastAsia="Calibri" w:hAnsi="Times New Roman" w:cs="Times New Roman"/>
          <w:color w:val="auto"/>
          <w:lang w:eastAsia="en-US"/>
        </w:rPr>
        <w:t>3</w:t>
      </w:r>
      <w:r w:rsidRPr="00917EBD">
        <w:rPr>
          <w:rFonts w:ascii="Times New Roman" w:eastAsia="Calibri" w:hAnsi="Times New Roman" w:cs="Times New Roman"/>
          <w:color w:val="auto"/>
          <w:lang w:eastAsia="en-US"/>
        </w:rPr>
        <w:t>. prosinca 20</w:t>
      </w:r>
      <w:r>
        <w:rPr>
          <w:rFonts w:ascii="Times New Roman" w:eastAsia="Calibri" w:hAnsi="Times New Roman" w:cs="Times New Roman"/>
          <w:color w:val="auto"/>
          <w:lang w:eastAsia="en-US"/>
        </w:rPr>
        <w:t>2</w:t>
      </w:r>
      <w:r w:rsidRPr="00917EBD">
        <w:rPr>
          <w:rFonts w:ascii="Times New Roman" w:eastAsia="Calibri" w:hAnsi="Times New Roman" w:cs="Times New Roman"/>
          <w:color w:val="auto"/>
          <w:lang w:eastAsia="en-US"/>
        </w:rPr>
        <w:t xml:space="preserve">3. o primjeni članaka 107. i 108. Ugovora o funkcioniranju Europske unije na </w:t>
      </w:r>
      <w:r w:rsidRPr="009C496A">
        <w:rPr>
          <w:rFonts w:ascii="Times New Roman" w:eastAsia="Calibri" w:hAnsi="Times New Roman" w:cs="Times New Roman"/>
          <w:i/>
          <w:iCs/>
          <w:color w:val="auto"/>
          <w:lang w:eastAsia="en-US"/>
        </w:rPr>
        <w:t xml:space="preserve">de </w:t>
      </w:r>
      <w:proofErr w:type="spellStart"/>
      <w:r w:rsidRPr="009C496A">
        <w:rPr>
          <w:rFonts w:ascii="Times New Roman" w:eastAsia="Calibri" w:hAnsi="Times New Roman" w:cs="Times New Roman"/>
          <w:i/>
          <w:iCs/>
          <w:color w:val="auto"/>
          <w:lang w:eastAsia="en-US"/>
        </w:rPr>
        <w:t>minimis</w:t>
      </w:r>
      <w:proofErr w:type="spellEnd"/>
      <w:r w:rsidRPr="00917EBD">
        <w:rPr>
          <w:rFonts w:ascii="Times New Roman" w:eastAsia="Calibri" w:hAnsi="Times New Roman" w:cs="Times New Roman"/>
          <w:color w:val="auto"/>
          <w:lang w:eastAsia="en-US"/>
        </w:rPr>
        <w:t xml:space="preserve"> potpore (SL L </w:t>
      </w:r>
      <w:r>
        <w:rPr>
          <w:rFonts w:ascii="Times New Roman" w:eastAsia="Calibri" w:hAnsi="Times New Roman" w:cs="Times New Roman"/>
          <w:color w:val="auto"/>
          <w:lang w:eastAsia="en-US"/>
        </w:rPr>
        <w:t>2023/2831</w:t>
      </w:r>
      <w:r w:rsidRPr="00917EBD">
        <w:rPr>
          <w:rFonts w:ascii="Times New Roman" w:eastAsia="Calibri" w:hAnsi="Times New Roman" w:cs="Times New Roman"/>
          <w:color w:val="auto"/>
          <w:lang w:eastAsia="en-US"/>
        </w:rPr>
        <w:t xml:space="preserve">, </w:t>
      </w:r>
      <w:r>
        <w:rPr>
          <w:rFonts w:ascii="Times New Roman" w:eastAsia="Calibri" w:hAnsi="Times New Roman" w:cs="Times New Roman"/>
          <w:color w:val="auto"/>
          <w:lang w:eastAsia="en-US"/>
        </w:rPr>
        <w:t>15</w:t>
      </w:r>
      <w:r w:rsidRPr="00917EBD">
        <w:rPr>
          <w:rFonts w:ascii="Times New Roman" w:eastAsia="Calibri" w:hAnsi="Times New Roman" w:cs="Times New Roman"/>
          <w:color w:val="auto"/>
          <w:lang w:eastAsia="en-US"/>
        </w:rPr>
        <w:t>. prosinca 20</w:t>
      </w:r>
      <w:r>
        <w:rPr>
          <w:rFonts w:ascii="Times New Roman" w:eastAsia="Calibri" w:hAnsi="Times New Roman" w:cs="Times New Roman"/>
          <w:color w:val="auto"/>
          <w:lang w:eastAsia="en-US"/>
        </w:rPr>
        <w:t>2</w:t>
      </w:r>
      <w:r w:rsidRPr="00917EBD">
        <w:rPr>
          <w:rFonts w:ascii="Times New Roman" w:eastAsia="Calibri" w:hAnsi="Times New Roman" w:cs="Times New Roman"/>
          <w:color w:val="auto"/>
          <w:lang w:eastAsia="en-US"/>
        </w:rPr>
        <w:t>3.)</w:t>
      </w:r>
      <w:r w:rsidR="007D2638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616A2A8A" w14:textId="77777777" w:rsidR="00CE122F" w:rsidRPr="00917EBD" w:rsidRDefault="00CE122F" w:rsidP="00CE122F">
      <w:pPr>
        <w:spacing w:before="120" w:after="120"/>
        <w:jc w:val="both"/>
        <w:rPr>
          <w:rFonts w:ascii="Times New Roman" w:hAnsi="Times New Roman" w:cs="Times New Roman"/>
        </w:rPr>
      </w:pPr>
      <w:r w:rsidRPr="00917EBD">
        <w:rPr>
          <w:rFonts w:ascii="Times New Roman" w:hAnsi="Times New Roman" w:cs="Times New Roman"/>
        </w:rPr>
        <w:t xml:space="preserve">U Državnom proračunu Republike Hrvatske za provedbu ovoga </w:t>
      </w:r>
      <w:r w:rsidRPr="00917EBD">
        <w:rPr>
          <w:rFonts w:ascii="Times New Roman" w:eastAsia="Calibri" w:hAnsi="Times New Roman" w:cs="Times New Roman"/>
          <w:lang w:eastAsia="en-US"/>
        </w:rPr>
        <w:t xml:space="preserve">Programa </w:t>
      </w:r>
      <w:r w:rsidRPr="00917EBD">
        <w:rPr>
          <w:rFonts w:ascii="Times New Roman" w:hAnsi="Times New Roman" w:cs="Times New Roman"/>
        </w:rPr>
        <w:t xml:space="preserve">osiguravaju se financijska sredstva za trogodišnje razdoblje u iznosu od </w:t>
      </w:r>
      <w:r>
        <w:rPr>
          <w:rFonts w:ascii="Times New Roman" w:hAnsi="Times New Roman" w:cs="Times New Roman"/>
        </w:rPr>
        <w:t>796.338</w:t>
      </w:r>
      <w:r w:rsidRPr="00917EBD">
        <w:rPr>
          <w:rFonts w:ascii="Times New Roman" w:hAnsi="Times New Roman" w:cs="Times New Roman"/>
        </w:rPr>
        <w:t xml:space="preserve">,00 </w:t>
      </w:r>
      <w:r w:rsidRPr="00917EBD">
        <w:rPr>
          <w:rFonts w:ascii="Times New Roman" w:hAnsi="Times New Roman" w:cs="Times New Roman"/>
          <w:color w:val="auto"/>
          <w:lang w:eastAsia="en-US"/>
        </w:rPr>
        <w:t xml:space="preserve">eura </w:t>
      </w:r>
      <w:r w:rsidRPr="00917EBD">
        <w:rPr>
          <w:rFonts w:ascii="Times New Roman" w:hAnsi="Times New Roman" w:cs="Times New Roman"/>
        </w:rPr>
        <w:t xml:space="preserve">od čega je za 2024. godinu osiguran iznos od </w:t>
      </w:r>
      <w:bookmarkStart w:id="2" w:name="_Hlk145320075"/>
      <w:r>
        <w:rPr>
          <w:rFonts w:ascii="Times New Roman" w:hAnsi="Times New Roman" w:cs="Times New Roman"/>
        </w:rPr>
        <w:t>265.446,00</w:t>
      </w:r>
      <w:r w:rsidRPr="00917EBD">
        <w:rPr>
          <w:rFonts w:ascii="Times New Roman" w:hAnsi="Times New Roman" w:cs="Times New Roman"/>
        </w:rPr>
        <w:t xml:space="preserve"> </w:t>
      </w:r>
      <w:bookmarkEnd w:id="2"/>
      <w:r w:rsidRPr="00917EBD">
        <w:rPr>
          <w:rFonts w:ascii="Times New Roman" w:hAnsi="Times New Roman" w:cs="Times New Roman"/>
          <w:color w:val="auto"/>
          <w:lang w:eastAsia="en-US"/>
        </w:rPr>
        <w:t>eura</w:t>
      </w:r>
      <w:r w:rsidRPr="00917EBD">
        <w:rPr>
          <w:rFonts w:ascii="Times New Roman" w:hAnsi="Times New Roman" w:cs="Times New Roman"/>
        </w:rPr>
        <w:t>.</w:t>
      </w:r>
    </w:p>
    <w:p w14:paraId="40EED9EF" w14:textId="77777777" w:rsidR="00CE122F" w:rsidRPr="00917EBD" w:rsidRDefault="00CE122F" w:rsidP="00CE122F">
      <w:pPr>
        <w:spacing w:before="120" w:after="120"/>
        <w:jc w:val="both"/>
        <w:rPr>
          <w:rFonts w:ascii="Times New Roman" w:hAnsi="Times New Roman" w:cs="Times New Roman"/>
        </w:rPr>
      </w:pPr>
      <w:r w:rsidRPr="00917EBD">
        <w:rPr>
          <w:rFonts w:ascii="Times New Roman" w:hAnsi="Times New Roman" w:cs="Times New Roman"/>
        </w:rPr>
        <w:t xml:space="preserve">Iznos od </w:t>
      </w:r>
      <w:r>
        <w:rPr>
          <w:rFonts w:ascii="Times New Roman" w:hAnsi="Times New Roman" w:cs="Times New Roman"/>
        </w:rPr>
        <w:t>265.446,00</w:t>
      </w:r>
      <w:r w:rsidRPr="00917EBD">
        <w:rPr>
          <w:rFonts w:ascii="Times New Roman" w:hAnsi="Times New Roman" w:cs="Times New Roman"/>
        </w:rPr>
        <w:t xml:space="preserve"> </w:t>
      </w:r>
      <w:r w:rsidRPr="00917EBD">
        <w:rPr>
          <w:rFonts w:ascii="Times New Roman" w:hAnsi="Times New Roman" w:cs="Times New Roman"/>
          <w:color w:val="auto"/>
          <w:lang w:eastAsia="en-US"/>
        </w:rPr>
        <w:t xml:space="preserve">eura </w:t>
      </w:r>
      <w:r w:rsidRPr="00917EBD">
        <w:rPr>
          <w:rFonts w:ascii="Times New Roman" w:hAnsi="Times New Roman" w:cs="Times New Roman"/>
        </w:rPr>
        <w:t xml:space="preserve">godišnje osigurava se u projekcijama za 2025. i 2026. godinu unutar Financijskog plana Ministarstva poljoprivrede na poziciji </w:t>
      </w:r>
      <w:r w:rsidRPr="00406B41">
        <w:rPr>
          <w:rFonts w:ascii="Times New Roman" w:hAnsi="Times New Roman" w:cs="Times New Roman"/>
        </w:rPr>
        <w:t>T865020</w:t>
      </w:r>
      <w:r w:rsidRPr="00917EBD">
        <w:rPr>
          <w:rFonts w:ascii="Times New Roman" w:hAnsi="Times New Roman" w:cs="Times New Roman"/>
        </w:rPr>
        <w:t xml:space="preserve"> – Uspostava regionalnih organizacija vinara i vinogradara.</w:t>
      </w:r>
    </w:p>
    <w:p w14:paraId="262B6B96" w14:textId="77777777" w:rsidR="00CE122F" w:rsidRPr="00917EBD" w:rsidRDefault="00CE122F" w:rsidP="00CE122F">
      <w:pPr>
        <w:spacing w:before="240" w:after="60"/>
        <w:outlineLvl w:val="0"/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</w:pPr>
      <w:r w:rsidRPr="00917EBD"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  <w:t xml:space="preserve">6. KORISNICI, INTENZITET I IZNOS POTPORE </w:t>
      </w:r>
    </w:p>
    <w:p w14:paraId="6ACB1116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 xml:space="preserve">Korisnici potpore su </w:t>
      </w:r>
      <w:r w:rsidRPr="00917EBD">
        <w:rPr>
          <w:rFonts w:ascii="Times New Roman" w:hAnsi="Times New Roman" w:cs="Times New Roman"/>
        </w:rPr>
        <w:t>regionalne organizacije</w:t>
      </w:r>
      <w:r w:rsidRPr="00917EBD">
        <w:rPr>
          <w:rFonts w:ascii="Times New Roman" w:eastAsia="Calibri" w:hAnsi="Times New Roman" w:cs="Times New Roman"/>
          <w:lang w:eastAsia="en-US"/>
        </w:rPr>
        <w:t>.</w:t>
      </w:r>
    </w:p>
    <w:p w14:paraId="0B5B70A8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>Intenzitet potpore ograničen je na 100 % prihvatljivih troškova.</w:t>
      </w:r>
    </w:p>
    <w:p w14:paraId="4DFD93A7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 xml:space="preserve">Najveći iznos potpore po korisniku iznosi </w:t>
      </w:r>
      <w:r>
        <w:rPr>
          <w:rFonts w:ascii="Times New Roman" w:eastAsia="Calibri" w:hAnsi="Times New Roman" w:cs="Times New Roman"/>
          <w:lang w:eastAsia="en-US"/>
        </w:rPr>
        <w:t>66.361,50</w:t>
      </w:r>
      <w:r w:rsidRPr="00917EBD">
        <w:rPr>
          <w:rFonts w:ascii="Times New Roman" w:eastAsia="Calibri" w:hAnsi="Times New Roman" w:cs="Times New Roman"/>
          <w:lang w:eastAsia="en-US"/>
        </w:rPr>
        <w:t xml:space="preserve"> </w:t>
      </w:r>
      <w:r w:rsidRPr="00917EBD">
        <w:rPr>
          <w:rFonts w:ascii="Times New Roman" w:hAnsi="Times New Roman" w:cs="Times New Roman"/>
          <w:color w:val="auto"/>
          <w:lang w:eastAsia="en-US"/>
        </w:rPr>
        <w:t xml:space="preserve">eura </w:t>
      </w:r>
      <w:r w:rsidRPr="00917EBD">
        <w:rPr>
          <w:rFonts w:ascii="Times New Roman" w:eastAsia="Calibri" w:hAnsi="Times New Roman" w:cs="Times New Roman"/>
          <w:lang w:eastAsia="en-US"/>
        </w:rPr>
        <w:t>godišnje.</w:t>
      </w:r>
    </w:p>
    <w:p w14:paraId="14165778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917EBD"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  <w:t>7. PRIHVATLJI TROŠKOVI</w:t>
      </w:r>
    </w:p>
    <w:p w14:paraId="38265C5A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>Financijska sredstva iz ovoga Dijela dodjeljuju se za:</w:t>
      </w:r>
    </w:p>
    <w:p w14:paraId="32B1C6A8" w14:textId="77777777" w:rsidR="00CE122F" w:rsidRPr="00917EBD" w:rsidRDefault="00CE122F" w:rsidP="00CE122F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 xml:space="preserve">administrativne troškove, </w:t>
      </w:r>
    </w:p>
    <w:p w14:paraId="691EEC54" w14:textId="77777777" w:rsidR="00CE122F" w:rsidRPr="00917EBD" w:rsidRDefault="00CE122F" w:rsidP="00CE122F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 xml:space="preserve">troškove najma uredskog prostora, </w:t>
      </w:r>
    </w:p>
    <w:p w14:paraId="625D2F6D" w14:textId="77777777" w:rsidR="00CE122F" w:rsidRPr="00917EBD" w:rsidRDefault="00CE122F" w:rsidP="00CE122F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>režijske troškove,</w:t>
      </w:r>
    </w:p>
    <w:p w14:paraId="2BF14B6E" w14:textId="77777777" w:rsidR="00CE122F" w:rsidRPr="00917EBD" w:rsidRDefault="00CE122F" w:rsidP="00CE122F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>troškove opremanja uredskog prostora,</w:t>
      </w:r>
    </w:p>
    <w:p w14:paraId="62E784D7" w14:textId="77777777" w:rsidR="00CE122F" w:rsidRPr="00917EBD" w:rsidRDefault="00CE122F" w:rsidP="00CE122F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>troškove kupnje informatičke opreme i tehnologije,</w:t>
      </w:r>
    </w:p>
    <w:p w14:paraId="66E009B0" w14:textId="77777777" w:rsidR="00CE122F" w:rsidRPr="00917EBD" w:rsidRDefault="00CE122F" w:rsidP="00CE122F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>troškove bruto plaća zaposlenih djelatnika.</w:t>
      </w:r>
    </w:p>
    <w:p w14:paraId="3BE0A01F" w14:textId="77777777" w:rsidR="00CE122F" w:rsidRPr="00917EBD" w:rsidRDefault="00CE122F" w:rsidP="00CE122F">
      <w:pPr>
        <w:spacing w:before="240" w:after="60"/>
        <w:outlineLvl w:val="0"/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</w:pPr>
      <w:r w:rsidRPr="00917EBD"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  <w:t>8. PROVEDBA PROGRAMA</w:t>
      </w:r>
    </w:p>
    <w:p w14:paraId="336B906A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 xml:space="preserve">Za provedbu Programa i praćenje namjenskog korištenja financijskih sredstava iz poglavlja 5. ovoga Programa zadužena je Agencija za plaćanja u poljoprivredi, ribarstvu i ruralnom razvoju. </w:t>
      </w:r>
    </w:p>
    <w:p w14:paraId="40901377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 xml:space="preserve">Potpora se isplaćuje </w:t>
      </w:r>
      <w:r w:rsidRPr="00917EBD">
        <w:rPr>
          <w:rFonts w:ascii="Times New Roman" w:eastAsia="Calibri" w:hAnsi="Times New Roman" w:cs="Times New Roman"/>
          <w:iCs/>
          <w:lang w:eastAsia="en-US"/>
        </w:rPr>
        <w:t>u skladu s raspoloživim financijskim sredstvima u Državnom proračunu Republike Hrvatske</w:t>
      </w:r>
      <w:r w:rsidRPr="00917EBD">
        <w:rPr>
          <w:rFonts w:ascii="Times New Roman" w:eastAsia="Calibri" w:hAnsi="Times New Roman" w:cs="Times New Roman"/>
          <w:lang w:eastAsia="en-US"/>
        </w:rPr>
        <w:t>.</w:t>
      </w:r>
    </w:p>
    <w:p w14:paraId="724797B7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>Rok za podnošenje Zahtjeva za potporu je do 15. travnja svake godine.</w:t>
      </w:r>
    </w:p>
    <w:p w14:paraId="3F943F5E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 xml:space="preserve">Potpora se u prvoj godini isplaćuje avansno nakon zaprimanja Zahtjeva za potporu uz koji su regionalne organizacije dužne priložiti Plan poslovnih aktivnosti. </w:t>
      </w:r>
    </w:p>
    <w:p w14:paraId="354FC49A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 xml:space="preserve">Uz Zahtjev za potporu u drugoj i trećoj godini regionalne organizacije dužne su uz Plan poslovnih aktivnosti dostaviti i Izvještaj o poslovnim aktivnostima provedenim u prethodnoj godini radi avansne isplate potpore u godišnjem iznosu. </w:t>
      </w:r>
    </w:p>
    <w:p w14:paraId="50361E69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 w:rsidRPr="00917EBD">
        <w:rPr>
          <w:rFonts w:ascii="Times New Roman" w:eastAsia="Calibri" w:hAnsi="Times New Roman" w:cs="Times New Roman"/>
          <w:lang w:eastAsia="en-US"/>
        </w:rPr>
        <w:lastRenderedPageBreak/>
        <w:t>Ukoliko regionalne organizacije računima ne dokažu troškove u iznosu koji im je dodijeljen i isplaćen u prethodnoj godini, iznos za isplatu u slijedećoj godinu umanjit će se za neiskorišteni dio financijskih sredstava koji je preostao iz prethodne godine</w:t>
      </w:r>
      <w:r w:rsidRPr="00917EBD">
        <w:rPr>
          <w:rFonts w:ascii="Times New Roman" w:hAnsi="Times New Roman" w:cs="Times New Roman"/>
          <w:color w:val="231F20"/>
          <w:shd w:val="clear" w:color="auto" w:fill="FFFFFF"/>
        </w:rPr>
        <w:t>.</w:t>
      </w:r>
    </w:p>
    <w:p w14:paraId="47399383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>Za potporu isplaćenu u trećoj godini regionalne organizacije dužne su dostaviti Izvještaj o poslovnim aktivnostima provedenim u trećoj godini najkasnije do 15. veljače naredne godine radi provođenja administrativne kontrole i kontrole na terenu u cilju potvrđivanja da je Plan poslovnih aktivnosti proveden te da su isplaćena sredstva namjenski iskorištena, a u slučaju kad se provedenim kontrolama utvrdi da troškovi ili dio troškova nisu dokazani donosi se Odluka o povratu sredstava.</w:t>
      </w:r>
    </w:p>
    <w:p w14:paraId="06DCDB9D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</w:p>
    <w:p w14:paraId="61E1D366" w14:textId="77777777" w:rsidR="00CE122F" w:rsidRPr="00917EBD" w:rsidRDefault="00CE122F" w:rsidP="00CE122F">
      <w:pPr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17EBD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r w:rsidRPr="00917EB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DIO III </w:t>
      </w:r>
    </w:p>
    <w:p w14:paraId="2F77E731" w14:textId="06181CE8" w:rsidR="00CE122F" w:rsidRPr="00917EBD" w:rsidRDefault="00CE122F" w:rsidP="00CE122F">
      <w:pPr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17EB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Sufinanciranje rada regionalnih organizacija </w:t>
      </w:r>
      <w:r w:rsidR="007D2638">
        <w:rPr>
          <w:rFonts w:ascii="Times New Roman" w:hAnsi="Times New Roman" w:cs="Times New Roman"/>
          <w:b/>
          <w:bCs/>
          <w:color w:val="auto"/>
          <w:sz w:val="28"/>
          <w:szCs w:val="28"/>
        </w:rPr>
        <w:t>na temelju</w:t>
      </w:r>
      <w:r w:rsidRPr="00917EB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Uredbe o skupnom izuzeću u sektoru poljoprivrede (ABER)</w:t>
      </w:r>
    </w:p>
    <w:p w14:paraId="25ED154C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356DDED" w14:textId="77777777" w:rsidR="00CE122F" w:rsidRPr="00917EBD" w:rsidRDefault="00CE122F" w:rsidP="00CE122F">
      <w:pPr>
        <w:spacing w:before="240" w:after="60"/>
        <w:outlineLvl w:val="0"/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</w:pPr>
      <w:r w:rsidRPr="00917EBD"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  <w:t xml:space="preserve">9. FINANCIJSKA SREDSTVA ZA PROVEDBU PROGRAMA </w:t>
      </w:r>
    </w:p>
    <w:p w14:paraId="068C945C" w14:textId="77777777" w:rsidR="00CE122F" w:rsidRPr="00917EBD" w:rsidRDefault="00CE122F" w:rsidP="00CE122F">
      <w:pPr>
        <w:spacing w:before="120" w:after="120"/>
        <w:jc w:val="both"/>
        <w:rPr>
          <w:rFonts w:ascii="Times New Roman" w:hAnsi="Times New Roman" w:cs="Times New Roman"/>
        </w:rPr>
      </w:pPr>
      <w:r w:rsidRPr="00917EBD">
        <w:rPr>
          <w:rFonts w:ascii="Times New Roman" w:eastAsia="Calibri" w:hAnsi="Times New Roman" w:cs="Times New Roman"/>
          <w:color w:val="auto"/>
          <w:lang w:eastAsia="en-US"/>
        </w:rPr>
        <w:t>Financijska sredstva iz ovoga Dijela dodjeljuju se u skladu s Poglavljem I. i člankom 24. Uredbe Komisije (EU) br. 2022/2472 od 14. prosinca 2022. o proglašenju određenih kategorija potpora u sektorima poljoprivrede i šumarstva te u ruralnim područjima spojivima s unutarnjim tržištem u primjeni članaka 107. i 108. Ugovora o funkcioniranju Europske unije.</w:t>
      </w:r>
    </w:p>
    <w:p w14:paraId="362ACDC4" w14:textId="7D76B7B5" w:rsidR="00AF1251" w:rsidRPr="00917EBD" w:rsidRDefault="00CE122F" w:rsidP="00CE122F">
      <w:pPr>
        <w:spacing w:before="120" w:after="120"/>
        <w:jc w:val="both"/>
        <w:rPr>
          <w:rFonts w:ascii="Times New Roman" w:hAnsi="Times New Roman" w:cs="Times New Roman"/>
        </w:rPr>
      </w:pPr>
      <w:r w:rsidRPr="00917EBD">
        <w:rPr>
          <w:rFonts w:ascii="Times New Roman" w:hAnsi="Times New Roman" w:cs="Times New Roman"/>
        </w:rPr>
        <w:t>Za provedbu Programa potpore u Državnom proračunu Republike Hrvatske osiguravaju se financijska sredstva za trogodišnje razdoblje u iznosu od 1.00</w:t>
      </w:r>
      <w:r>
        <w:rPr>
          <w:rFonts w:ascii="Times New Roman" w:hAnsi="Times New Roman" w:cs="Times New Roman"/>
        </w:rPr>
        <w:t>3</w:t>
      </w:r>
      <w:r w:rsidRPr="00917E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662</w:t>
      </w:r>
      <w:r w:rsidRPr="00917EBD">
        <w:rPr>
          <w:rFonts w:ascii="Times New Roman" w:hAnsi="Times New Roman" w:cs="Times New Roman"/>
        </w:rPr>
        <w:t xml:space="preserve">,00 </w:t>
      </w:r>
      <w:r w:rsidRPr="00917EBD">
        <w:rPr>
          <w:rFonts w:ascii="Times New Roman" w:hAnsi="Times New Roman" w:cs="Times New Roman"/>
          <w:color w:val="auto"/>
          <w:lang w:eastAsia="en-US"/>
        </w:rPr>
        <w:t xml:space="preserve">eura </w:t>
      </w:r>
      <w:r w:rsidRPr="00917EBD">
        <w:rPr>
          <w:rFonts w:ascii="Times New Roman" w:hAnsi="Times New Roman" w:cs="Times New Roman"/>
        </w:rPr>
        <w:t xml:space="preserve">od čega je za 2024. godinu osiguran iznos od </w:t>
      </w:r>
      <w:r>
        <w:rPr>
          <w:rFonts w:ascii="Times New Roman" w:hAnsi="Times New Roman" w:cs="Times New Roman"/>
        </w:rPr>
        <w:t>334.554,00</w:t>
      </w:r>
      <w:r w:rsidRPr="00917EBD">
        <w:rPr>
          <w:rFonts w:ascii="Times New Roman" w:hAnsi="Times New Roman" w:cs="Times New Roman"/>
        </w:rPr>
        <w:t xml:space="preserve"> </w:t>
      </w:r>
      <w:r w:rsidRPr="00917EBD">
        <w:rPr>
          <w:rFonts w:ascii="Times New Roman" w:hAnsi="Times New Roman" w:cs="Times New Roman"/>
          <w:color w:val="auto"/>
          <w:lang w:eastAsia="en-US"/>
        </w:rPr>
        <w:t>eura</w:t>
      </w:r>
      <w:r w:rsidR="00AF1251" w:rsidRPr="00AF1251">
        <w:rPr>
          <w:rFonts w:ascii="Times New Roman" w:hAnsi="Times New Roman" w:cs="Times New Roman"/>
        </w:rPr>
        <w:t xml:space="preserve"> </w:t>
      </w:r>
      <w:r w:rsidR="00AF1251" w:rsidRPr="00917EBD">
        <w:rPr>
          <w:rFonts w:ascii="Times New Roman" w:hAnsi="Times New Roman" w:cs="Times New Roman"/>
        </w:rPr>
        <w:t xml:space="preserve">unutar Financijskog plana Ministarstva poljoprivrede na poziciji </w:t>
      </w:r>
      <w:r w:rsidR="00AF1251" w:rsidRPr="00D80E71">
        <w:rPr>
          <w:rFonts w:ascii="Times New Roman" w:hAnsi="Times New Roman" w:cs="Times New Roman"/>
        </w:rPr>
        <w:t>A821058 – ZPP Mjere uređenja tržišta poljoprivrednih proizvoda</w:t>
      </w:r>
      <w:r w:rsidR="00AF1251">
        <w:rPr>
          <w:rFonts w:ascii="Times New Roman" w:hAnsi="Times New Roman" w:cs="Times New Roman"/>
        </w:rPr>
        <w:t xml:space="preserve">, a </w:t>
      </w:r>
      <w:r w:rsidR="00AF1251" w:rsidRPr="00917EBD">
        <w:rPr>
          <w:rFonts w:ascii="Times New Roman" w:hAnsi="Times New Roman" w:cs="Times New Roman"/>
        </w:rPr>
        <w:t>u projekcijama za 2025. i 2026. godin</w:t>
      </w:r>
      <w:r w:rsidR="00AF1251">
        <w:rPr>
          <w:rFonts w:ascii="Times New Roman" w:hAnsi="Times New Roman" w:cs="Times New Roman"/>
        </w:rPr>
        <w:t xml:space="preserve">u </w:t>
      </w:r>
      <w:r w:rsidR="00561956" w:rsidRPr="00917EBD">
        <w:rPr>
          <w:rFonts w:ascii="Times New Roman" w:hAnsi="Times New Roman" w:cs="Times New Roman"/>
        </w:rPr>
        <w:t>osigurava se</w:t>
      </w:r>
      <w:r w:rsidR="00561956">
        <w:rPr>
          <w:rFonts w:ascii="Times New Roman" w:hAnsi="Times New Roman" w:cs="Times New Roman"/>
        </w:rPr>
        <w:t xml:space="preserve"> </w:t>
      </w:r>
      <w:r w:rsidR="00AF1251">
        <w:rPr>
          <w:rFonts w:ascii="Times New Roman" w:hAnsi="Times New Roman" w:cs="Times New Roman"/>
        </w:rPr>
        <w:t>i</w:t>
      </w:r>
      <w:r w:rsidRPr="00917EBD">
        <w:rPr>
          <w:rFonts w:ascii="Times New Roman" w:hAnsi="Times New Roman" w:cs="Times New Roman"/>
        </w:rPr>
        <w:t xml:space="preserve">znos od </w:t>
      </w:r>
      <w:r>
        <w:rPr>
          <w:rFonts w:ascii="Times New Roman" w:hAnsi="Times New Roman" w:cs="Times New Roman"/>
        </w:rPr>
        <w:t>334.554,00</w:t>
      </w:r>
      <w:r w:rsidRPr="00917EBD">
        <w:rPr>
          <w:rFonts w:ascii="Times New Roman" w:hAnsi="Times New Roman" w:cs="Times New Roman"/>
        </w:rPr>
        <w:t xml:space="preserve"> </w:t>
      </w:r>
      <w:r w:rsidRPr="00917EBD">
        <w:rPr>
          <w:rFonts w:ascii="Times New Roman" w:hAnsi="Times New Roman" w:cs="Times New Roman"/>
          <w:color w:val="auto"/>
          <w:lang w:eastAsia="en-US"/>
        </w:rPr>
        <w:t xml:space="preserve">eura </w:t>
      </w:r>
      <w:r w:rsidRPr="00917EBD">
        <w:rPr>
          <w:rFonts w:ascii="Times New Roman" w:hAnsi="Times New Roman" w:cs="Times New Roman"/>
        </w:rPr>
        <w:t xml:space="preserve">godišnje </w:t>
      </w:r>
      <w:r w:rsidR="00AF1251">
        <w:rPr>
          <w:rFonts w:ascii="Times New Roman" w:hAnsi="Times New Roman" w:cs="Times New Roman"/>
          <w:bCs/>
        </w:rPr>
        <w:t xml:space="preserve">na poziciji </w:t>
      </w:r>
      <w:r w:rsidR="00AF1251" w:rsidRPr="00490F45">
        <w:rPr>
          <w:rFonts w:ascii="Times New Roman" w:hAnsi="Times New Roman" w:cs="Times New Roman"/>
          <w:bCs/>
        </w:rPr>
        <w:t>A865039 - Strateški plan 2023</w:t>
      </w:r>
      <w:r w:rsidR="003B73BA">
        <w:rPr>
          <w:rFonts w:ascii="Times New Roman" w:hAnsi="Times New Roman" w:cs="Times New Roman"/>
          <w:bCs/>
        </w:rPr>
        <w:t>.</w:t>
      </w:r>
      <w:r w:rsidR="00AF1251" w:rsidRPr="00490F45">
        <w:rPr>
          <w:rFonts w:ascii="Times New Roman" w:hAnsi="Times New Roman" w:cs="Times New Roman"/>
          <w:bCs/>
        </w:rPr>
        <w:t>-2027</w:t>
      </w:r>
      <w:r w:rsidR="003B73BA">
        <w:rPr>
          <w:rFonts w:ascii="Times New Roman" w:hAnsi="Times New Roman" w:cs="Times New Roman"/>
          <w:bCs/>
        </w:rPr>
        <w:t xml:space="preserve">. </w:t>
      </w:r>
      <w:r w:rsidR="00AF1251" w:rsidRPr="00490F45">
        <w:rPr>
          <w:rFonts w:ascii="Times New Roman" w:hAnsi="Times New Roman" w:cs="Times New Roman"/>
          <w:bCs/>
        </w:rPr>
        <w:t>- Sektorski programi</w:t>
      </w:r>
      <w:r w:rsidRPr="00917EBD">
        <w:rPr>
          <w:rFonts w:ascii="Times New Roman" w:hAnsi="Times New Roman" w:cs="Times New Roman"/>
        </w:rPr>
        <w:t>.</w:t>
      </w:r>
    </w:p>
    <w:p w14:paraId="7F3A4BFF" w14:textId="77777777" w:rsidR="00CE122F" w:rsidRPr="00917EBD" w:rsidRDefault="00CE122F" w:rsidP="00CE122F">
      <w:pPr>
        <w:spacing w:before="240" w:after="60"/>
        <w:outlineLvl w:val="0"/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</w:pPr>
      <w:r w:rsidRPr="00917EBD"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  <w:t xml:space="preserve">10. KORISNICI, INTENZITET I IZNOS POTPORE </w:t>
      </w:r>
    </w:p>
    <w:p w14:paraId="7A82851F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 xml:space="preserve">Korisnici potpore su </w:t>
      </w:r>
      <w:r w:rsidRPr="00917EBD">
        <w:rPr>
          <w:rFonts w:ascii="Times New Roman" w:hAnsi="Times New Roman" w:cs="Times New Roman"/>
        </w:rPr>
        <w:t>regionalne organizacije</w:t>
      </w:r>
      <w:r w:rsidRPr="00917EBD">
        <w:rPr>
          <w:rFonts w:ascii="Times New Roman" w:eastAsia="Calibri" w:hAnsi="Times New Roman" w:cs="Times New Roman"/>
          <w:lang w:eastAsia="en-US"/>
        </w:rPr>
        <w:t>.</w:t>
      </w:r>
    </w:p>
    <w:p w14:paraId="7C39F077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>Intenzitet potpore ograničen je na 100 % prihvatljivih troškova.</w:t>
      </w:r>
    </w:p>
    <w:p w14:paraId="55CB0F53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>Najveći iznos potpore po korisniku iznosi 83.</w:t>
      </w:r>
      <w:r>
        <w:rPr>
          <w:rFonts w:ascii="Times New Roman" w:eastAsia="Calibri" w:hAnsi="Times New Roman" w:cs="Times New Roman"/>
          <w:lang w:eastAsia="en-US"/>
        </w:rPr>
        <w:t>638,50</w:t>
      </w:r>
      <w:r w:rsidRPr="00917EBD">
        <w:rPr>
          <w:rFonts w:ascii="Times New Roman" w:eastAsia="Calibri" w:hAnsi="Times New Roman" w:cs="Times New Roman"/>
          <w:lang w:eastAsia="en-US"/>
        </w:rPr>
        <w:t xml:space="preserve"> </w:t>
      </w:r>
      <w:r w:rsidRPr="00917EBD">
        <w:rPr>
          <w:rFonts w:ascii="Times New Roman" w:hAnsi="Times New Roman" w:cs="Times New Roman"/>
          <w:color w:val="auto"/>
          <w:lang w:eastAsia="en-US"/>
        </w:rPr>
        <w:t xml:space="preserve">eura </w:t>
      </w:r>
      <w:r w:rsidRPr="00917EBD">
        <w:rPr>
          <w:rFonts w:ascii="Times New Roman" w:eastAsia="Calibri" w:hAnsi="Times New Roman" w:cs="Times New Roman"/>
          <w:lang w:eastAsia="en-US"/>
        </w:rPr>
        <w:t>godišnje.</w:t>
      </w:r>
    </w:p>
    <w:p w14:paraId="6A17B3FF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</w:pPr>
      <w:r w:rsidRPr="00917EBD"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  <w:t>11. PRIHVATLJI TROŠKOVI</w:t>
      </w:r>
    </w:p>
    <w:p w14:paraId="2A613D77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>Financijska sredstva iz ovoga Dijela dodjeljuju se za:</w:t>
      </w:r>
    </w:p>
    <w:p w14:paraId="6F7FD36C" w14:textId="77777777" w:rsidR="00CE122F" w:rsidRPr="00917EBD" w:rsidRDefault="00CE122F" w:rsidP="00CE122F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>organizaciju natjecanja, sajmova i izložbi te sudjelovanje u njima, za koje su prihvatljivi sljedeći troškovi:</w:t>
      </w:r>
    </w:p>
    <w:p w14:paraId="15DEC43B" w14:textId="77777777" w:rsidR="00CE122F" w:rsidRPr="00917EBD" w:rsidRDefault="00CE122F" w:rsidP="00CE122F">
      <w:pPr>
        <w:numPr>
          <w:ilvl w:val="0"/>
          <w:numId w:val="8"/>
        </w:numPr>
        <w:rPr>
          <w:rFonts w:ascii="Times New Roman" w:hAnsi="Times New Roman" w:cs="Times New Roman"/>
          <w:color w:val="auto"/>
          <w:lang w:eastAsia="en-US"/>
        </w:rPr>
      </w:pPr>
      <w:r w:rsidRPr="00917EBD">
        <w:rPr>
          <w:rFonts w:ascii="Times New Roman" w:hAnsi="Times New Roman" w:cs="Times New Roman"/>
          <w:color w:val="auto"/>
          <w:lang w:eastAsia="en-US"/>
        </w:rPr>
        <w:t>kotizacije</w:t>
      </w:r>
    </w:p>
    <w:p w14:paraId="1E1AD7CA" w14:textId="77777777" w:rsidR="00CE122F" w:rsidRPr="00917EBD" w:rsidRDefault="00CE122F" w:rsidP="00CE122F">
      <w:pPr>
        <w:numPr>
          <w:ilvl w:val="0"/>
          <w:numId w:val="8"/>
        </w:numPr>
        <w:rPr>
          <w:rFonts w:ascii="Times New Roman" w:hAnsi="Times New Roman" w:cs="Times New Roman"/>
          <w:color w:val="auto"/>
          <w:lang w:eastAsia="en-US"/>
        </w:rPr>
      </w:pPr>
      <w:r w:rsidRPr="00917EBD">
        <w:rPr>
          <w:rFonts w:ascii="Times New Roman" w:hAnsi="Times New Roman" w:cs="Times New Roman"/>
          <w:color w:val="auto"/>
          <w:lang w:eastAsia="en-US"/>
        </w:rPr>
        <w:t>putnih troškova i troškova prijevoza proizvoda koji će biti obuhvaćeni promidžbenom mjerom</w:t>
      </w:r>
    </w:p>
    <w:p w14:paraId="06D51762" w14:textId="783F0903" w:rsidR="00CE122F" w:rsidRPr="00917EBD" w:rsidRDefault="00CE122F" w:rsidP="00CE122F">
      <w:pPr>
        <w:numPr>
          <w:ilvl w:val="0"/>
          <w:numId w:val="8"/>
        </w:numPr>
        <w:rPr>
          <w:rFonts w:ascii="Times New Roman" w:hAnsi="Times New Roman" w:cs="Times New Roman"/>
          <w:color w:val="auto"/>
          <w:lang w:eastAsia="en-US"/>
        </w:rPr>
      </w:pPr>
      <w:r w:rsidRPr="00917EBD">
        <w:rPr>
          <w:rFonts w:ascii="Times New Roman" w:hAnsi="Times New Roman" w:cs="Times New Roman"/>
          <w:color w:val="auto"/>
          <w:lang w:eastAsia="en-US"/>
        </w:rPr>
        <w:t>publikacija i internetskih stranica kojima se najavljuje događanje</w:t>
      </w:r>
    </w:p>
    <w:p w14:paraId="37EECA84" w14:textId="2549A929" w:rsidR="00CE122F" w:rsidRPr="00917EBD" w:rsidRDefault="00CE122F" w:rsidP="00CE122F">
      <w:pPr>
        <w:numPr>
          <w:ilvl w:val="0"/>
          <w:numId w:val="8"/>
        </w:numPr>
        <w:rPr>
          <w:rFonts w:ascii="Times New Roman" w:hAnsi="Times New Roman" w:cs="Times New Roman"/>
          <w:color w:val="auto"/>
          <w:lang w:eastAsia="en-US"/>
        </w:rPr>
      </w:pPr>
      <w:r w:rsidRPr="00917EBD">
        <w:rPr>
          <w:rFonts w:ascii="Times New Roman" w:hAnsi="Times New Roman" w:cs="Times New Roman"/>
          <w:color w:val="auto"/>
          <w:lang w:eastAsia="en-US"/>
        </w:rPr>
        <w:t>najma izložbenih prostora i štandova te troškov</w:t>
      </w:r>
      <w:r w:rsidR="00030E5E">
        <w:rPr>
          <w:rFonts w:ascii="Times New Roman" w:hAnsi="Times New Roman" w:cs="Times New Roman"/>
          <w:color w:val="auto"/>
          <w:lang w:eastAsia="en-US"/>
        </w:rPr>
        <w:t>i</w:t>
      </w:r>
      <w:r w:rsidRPr="00917EBD">
        <w:rPr>
          <w:rFonts w:ascii="Times New Roman" w:hAnsi="Times New Roman" w:cs="Times New Roman"/>
          <w:color w:val="auto"/>
          <w:lang w:eastAsia="en-US"/>
        </w:rPr>
        <w:t xml:space="preserve"> njihova postavljanja i rastavljanja</w:t>
      </w:r>
    </w:p>
    <w:p w14:paraId="5EDC0178" w14:textId="15EB411F" w:rsidR="00CE122F" w:rsidRPr="00917EBD" w:rsidRDefault="00CE122F" w:rsidP="00CE122F">
      <w:pPr>
        <w:numPr>
          <w:ilvl w:val="0"/>
          <w:numId w:val="8"/>
        </w:numPr>
        <w:rPr>
          <w:rFonts w:ascii="Times New Roman" w:hAnsi="Times New Roman" w:cs="Times New Roman"/>
          <w:color w:val="auto"/>
          <w:lang w:eastAsia="en-US"/>
        </w:rPr>
      </w:pPr>
      <w:r w:rsidRPr="00917EBD">
        <w:rPr>
          <w:rFonts w:ascii="Times New Roman" w:hAnsi="Times New Roman" w:cs="Times New Roman"/>
          <w:color w:val="auto"/>
          <w:lang w:eastAsia="en-US"/>
        </w:rPr>
        <w:t xml:space="preserve">simbolične nagrade u vrijednosti do 3.000 </w:t>
      </w:r>
      <w:bookmarkStart w:id="3" w:name="_Hlk146610638"/>
      <w:r w:rsidRPr="00917EBD">
        <w:rPr>
          <w:rFonts w:ascii="Times New Roman" w:hAnsi="Times New Roman" w:cs="Times New Roman"/>
          <w:color w:val="auto"/>
          <w:lang w:eastAsia="en-US"/>
        </w:rPr>
        <w:t xml:space="preserve">eura </w:t>
      </w:r>
      <w:bookmarkEnd w:id="3"/>
      <w:r w:rsidRPr="00917EBD">
        <w:rPr>
          <w:rFonts w:ascii="Times New Roman" w:hAnsi="Times New Roman" w:cs="Times New Roman"/>
          <w:color w:val="auto"/>
          <w:lang w:eastAsia="en-US"/>
        </w:rPr>
        <w:t xml:space="preserve">po nagradi i dobitniku </w:t>
      </w:r>
    </w:p>
    <w:p w14:paraId="3931386E" w14:textId="77777777" w:rsidR="00CE122F" w:rsidRPr="00917EBD" w:rsidRDefault="00CE122F" w:rsidP="00CE122F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color w:val="auto"/>
          <w:lang w:eastAsia="en-US"/>
        </w:rPr>
        <w:t xml:space="preserve">publikacije s ciljem jačanja svijesti šire javnosti o poljoprivrednim proizvodima, </w:t>
      </w:r>
      <w:r w:rsidRPr="00917EBD">
        <w:rPr>
          <w:rFonts w:ascii="Times New Roman" w:eastAsia="Calibri" w:hAnsi="Times New Roman" w:cs="Times New Roman"/>
          <w:lang w:eastAsia="en-US"/>
        </w:rPr>
        <w:t>za koje su prihvatljivi sljedeći troškovi:</w:t>
      </w:r>
    </w:p>
    <w:p w14:paraId="304E93A7" w14:textId="0C26E450" w:rsidR="00CE122F" w:rsidRPr="00917EBD" w:rsidRDefault="00CE122F" w:rsidP="00CE122F">
      <w:pPr>
        <w:numPr>
          <w:ilvl w:val="0"/>
          <w:numId w:val="9"/>
        </w:numPr>
        <w:rPr>
          <w:rFonts w:ascii="Times New Roman" w:hAnsi="Times New Roman" w:cs="Times New Roman"/>
          <w:color w:val="auto"/>
          <w:lang w:eastAsia="en-US"/>
        </w:rPr>
      </w:pPr>
      <w:r w:rsidRPr="00917EBD">
        <w:rPr>
          <w:rFonts w:ascii="Times New Roman" w:hAnsi="Times New Roman" w:cs="Times New Roman"/>
          <w:color w:val="auto"/>
          <w:lang w:eastAsia="en-US"/>
        </w:rPr>
        <w:t>publikacija u tiskanim i elektroničkim medijima, internetskih stranica te prostora u elektroničkim medijima, na radiju i na televiziji u cilju predstavljanja činjenica o korisnicima iz određene regije ili korisnicima koji proizvode određeni poljoprivredni proizvod, pod uvjetom da su te činjenice neutralne i da svi dotični korisnici imaju jednake mogućnosti zastupljenosti u publikaciji</w:t>
      </w:r>
    </w:p>
    <w:p w14:paraId="51833047" w14:textId="4B117840" w:rsidR="00CE122F" w:rsidRPr="00917EBD" w:rsidRDefault="00CE122F" w:rsidP="00CE122F">
      <w:pPr>
        <w:numPr>
          <w:ilvl w:val="0"/>
          <w:numId w:val="9"/>
        </w:numPr>
        <w:rPr>
          <w:rFonts w:ascii="Times New Roman" w:hAnsi="Times New Roman" w:cs="Times New Roman"/>
          <w:color w:val="auto"/>
          <w:lang w:eastAsia="en-US"/>
        </w:rPr>
      </w:pPr>
      <w:r w:rsidRPr="00917EBD">
        <w:rPr>
          <w:rFonts w:ascii="Times New Roman" w:hAnsi="Times New Roman" w:cs="Times New Roman"/>
          <w:color w:val="auto"/>
          <w:lang w:eastAsia="en-US"/>
        </w:rPr>
        <w:t>širenja znanstvenih spoznaja i činjenica o:</w:t>
      </w:r>
    </w:p>
    <w:p w14:paraId="30DFFFFE" w14:textId="77777777" w:rsidR="00CE122F" w:rsidRPr="00917EBD" w:rsidRDefault="00CE122F" w:rsidP="00CE122F">
      <w:pPr>
        <w:numPr>
          <w:ilvl w:val="0"/>
          <w:numId w:val="10"/>
        </w:numPr>
        <w:ind w:left="2138"/>
        <w:rPr>
          <w:rFonts w:ascii="Times New Roman" w:hAnsi="Times New Roman" w:cs="Times New Roman"/>
          <w:color w:val="auto"/>
          <w:lang w:eastAsia="en-US"/>
        </w:rPr>
      </w:pPr>
      <w:r w:rsidRPr="00917EBD">
        <w:rPr>
          <w:rFonts w:ascii="Times New Roman" w:hAnsi="Times New Roman" w:cs="Times New Roman"/>
          <w:color w:val="auto"/>
          <w:lang w:eastAsia="en-US"/>
        </w:rPr>
        <w:t xml:space="preserve">sustavima kvalitete iz članka 20. stavka 2. Uredbe </w:t>
      </w:r>
      <w:r w:rsidRPr="00917EBD">
        <w:rPr>
          <w:rFonts w:ascii="Times New Roman" w:eastAsia="Calibri" w:hAnsi="Times New Roman" w:cs="Times New Roman"/>
          <w:color w:val="auto"/>
          <w:lang w:eastAsia="en-US"/>
        </w:rPr>
        <w:t>Komisije (EU) br. 2022/2472</w:t>
      </w:r>
      <w:r w:rsidRPr="00917EBD">
        <w:rPr>
          <w:rFonts w:ascii="Times New Roman" w:hAnsi="Times New Roman" w:cs="Times New Roman"/>
          <w:color w:val="auto"/>
          <w:lang w:eastAsia="en-US"/>
        </w:rPr>
        <w:t xml:space="preserve"> otvorenima za poljoprivredne proizvode iz drugih država članica i trećih zemalja</w:t>
      </w:r>
    </w:p>
    <w:p w14:paraId="1C6C71D7" w14:textId="77777777" w:rsidR="00CE122F" w:rsidRPr="00917EBD" w:rsidRDefault="00CE122F" w:rsidP="00CE122F">
      <w:pPr>
        <w:numPr>
          <w:ilvl w:val="0"/>
          <w:numId w:val="10"/>
        </w:numPr>
        <w:spacing w:after="120"/>
        <w:ind w:left="2138"/>
        <w:rPr>
          <w:rFonts w:ascii="Times New Roman" w:hAnsi="Times New Roman" w:cs="Times New Roman"/>
          <w:color w:val="auto"/>
          <w:lang w:eastAsia="en-US"/>
        </w:rPr>
      </w:pPr>
      <w:r w:rsidRPr="00917EBD">
        <w:rPr>
          <w:rFonts w:ascii="Times New Roman" w:hAnsi="Times New Roman" w:cs="Times New Roman"/>
          <w:color w:val="auto"/>
          <w:lang w:eastAsia="en-US"/>
        </w:rPr>
        <w:lastRenderedPageBreak/>
        <w:t>generičkim poljoprivrednim proizvodima te njihovim nutritivnim koristima i predloženim namjenama.</w:t>
      </w:r>
    </w:p>
    <w:p w14:paraId="07581249" w14:textId="77777777" w:rsidR="00CE122F" w:rsidRPr="00917EBD" w:rsidRDefault="00CE122F" w:rsidP="00CE122F">
      <w:pPr>
        <w:spacing w:before="240" w:after="60"/>
        <w:outlineLvl w:val="0"/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</w:pPr>
      <w:r w:rsidRPr="00917EBD">
        <w:rPr>
          <w:rFonts w:ascii="Times New Roman" w:hAnsi="Times New Roman"/>
          <w:b/>
          <w:bCs/>
          <w:color w:val="auto"/>
          <w:kern w:val="32"/>
          <w:sz w:val="28"/>
          <w:szCs w:val="32"/>
          <w:lang w:val="en-GB" w:eastAsia="en-US"/>
        </w:rPr>
        <w:t>12. PROVEDBA PROGRAMA</w:t>
      </w:r>
    </w:p>
    <w:p w14:paraId="58C23171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 xml:space="preserve">Za provedbu Programa i praćenje namjenskog korištenja financijskih sredstava iz poglavlja 9. ovoga Programa zadužena je Agencija za plaćanja u poljoprivredi, ribarstvu i ruralnom razvoju. </w:t>
      </w:r>
    </w:p>
    <w:p w14:paraId="2CEF9B5C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 xml:space="preserve">Potpora se isplaćuje </w:t>
      </w:r>
      <w:r w:rsidRPr="00917EBD">
        <w:rPr>
          <w:rFonts w:ascii="Times New Roman" w:eastAsia="Calibri" w:hAnsi="Times New Roman" w:cs="Times New Roman"/>
          <w:iCs/>
          <w:lang w:eastAsia="en-US"/>
        </w:rPr>
        <w:t>u skladu s raspoloživim financijskim sredstvima u Državnom proračunu Republike Hrvatske</w:t>
      </w:r>
      <w:r w:rsidRPr="00917EBD">
        <w:rPr>
          <w:rFonts w:ascii="Times New Roman" w:eastAsia="Calibri" w:hAnsi="Times New Roman" w:cs="Times New Roman"/>
          <w:lang w:eastAsia="en-US"/>
        </w:rPr>
        <w:t>.</w:t>
      </w:r>
    </w:p>
    <w:p w14:paraId="7F27F40E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>Rok za podnošenje Zahtjeva za potporu je do 15. travnja svake godine.</w:t>
      </w:r>
    </w:p>
    <w:p w14:paraId="3ACAC2E9" w14:textId="77777777" w:rsidR="00CE122F" w:rsidRPr="00917EBD" w:rsidRDefault="00CE122F" w:rsidP="00CE122F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lang w:eastAsia="en-US"/>
        </w:rPr>
      </w:pPr>
      <w:r w:rsidRPr="00917EBD">
        <w:rPr>
          <w:rFonts w:ascii="Times New Roman" w:eastAsia="Calibri" w:hAnsi="Times New Roman" w:cs="Times New Roman"/>
          <w:lang w:eastAsia="en-US"/>
        </w:rPr>
        <w:t>Potpora se za svaku godinu isplaćuje nakon zaprimanja Zahtjeva za potporu po izvršenju planiranih aktivnosti, a regionalne organizacije su dužne priložiti dokaze o stvarno nastalim troškovima.</w:t>
      </w:r>
    </w:p>
    <w:p w14:paraId="0FA42802" w14:textId="7C4A3A9C" w:rsidR="00CE122F" w:rsidRPr="00917EBD" w:rsidRDefault="00CE122F" w:rsidP="00CE122F">
      <w:pPr>
        <w:jc w:val="both"/>
        <w:rPr>
          <w:rFonts w:ascii="Times New Roman" w:hAnsi="Times New Roman" w:cs="Times New Roman"/>
        </w:rPr>
      </w:pPr>
      <w:r w:rsidRPr="00917EBD">
        <w:rPr>
          <w:rFonts w:ascii="Times New Roman" w:hAnsi="Times New Roman" w:cs="Times New Roman"/>
        </w:rPr>
        <w:t xml:space="preserve">Potpore za simbolične nagrade iz poglavlja 11. podstavka 1. točke 5. ovoga Programa isplaćuju se nakon dostave dokaza o </w:t>
      </w:r>
      <w:r w:rsidR="00C76934">
        <w:rPr>
          <w:rFonts w:ascii="Times New Roman" w:hAnsi="Times New Roman" w:cs="Times New Roman"/>
        </w:rPr>
        <w:t>dobitnicima i dodijeljenim iznosima nagrada</w:t>
      </w:r>
      <w:r w:rsidRPr="00917EBD">
        <w:rPr>
          <w:rFonts w:ascii="Times New Roman" w:hAnsi="Times New Roman" w:cs="Times New Roman"/>
        </w:rPr>
        <w:t>.</w:t>
      </w:r>
    </w:p>
    <w:p w14:paraId="621F99B9" w14:textId="77777777" w:rsidR="001209F9" w:rsidRPr="001209F9" w:rsidRDefault="001209F9" w:rsidP="001209F9">
      <w:pPr>
        <w:rPr>
          <w:rFonts w:ascii="Times New Roman" w:hAnsi="Times New Roman" w:cs="Times New Roman"/>
        </w:rPr>
      </w:pPr>
    </w:p>
    <w:p w14:paraId="54EF9AFB" w14:textId="77777777" w:rsidR="001209F9" w:rsidRPr="001209F9" w:rsidRDefault="001209F9" w:rsidP="00F63743">
      <w:pPr>
        <w:rPr>
          <w:rFonts w:ascii="Times New Roman" w:hAnsi="Times New Roman" w:cs="Times New Roman"/>
        </w:rPr>
      </w:pPr>
    </w:p>
    <w:p w14:paraId="77F547DC" w14:textId="77777777" w:rsidR="001209F9" w:rsidRDefault="001209F9" w:rsidP="00F63743">
      <w:pPr>
        <w:rPr>
          <w:rFonts w:ascii="Times New Roman" w:hAnsi="Times New Roman" w:cs="Times New Roman"/>
        </w:rPr>
      </w:pPr>
    </w:p>
    <w:p w14:paraId="624C93B2" w14:textId="77777777" w:rsidR="001209F9" w:rsidRDefault="001209F9" w:rsidP="001209F9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</w:rPr>
      </w:pPr>
    </w:p>
    <w:p w14:paraId="501D43B0" w14:textId="77777777" w:rsidR="001209F9" w:rsidRPr="00143962" w:rsidRDefault="001209F9" w:rsidP="001209F9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  <w:lang w:val="pl-PL"/>
        </w:rPr>
      </w:pPr>
    </w:p>
    <w:sectPr w:rsidR="001209F9" w:rsidRPr="00143962" w:rsidSect="00FD075C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68F9"/>
    <w:multiLevelType w:val="hybridMultilevel"/>
    <w:tmpl w:val="4FA284E2"/>
    <w:lvl w:ilvl="0" w:tplc="2138EA0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BCA320E"/>
    <w:multiLevelType w:val="hybridMultilevel"/>
    <w:tmpl w:val="DF50A1A8"/>
    <w:lvl w:ilvl="0" w:tplc="041A000F">
      <w:start w:val="1"/>
      <w:numFmt w:val="decimal"/>
      <w:lvlText w:val="%1."/>
      <w:lvlJc w:val="left"/>
      <w:pPr>
        <w:ind w:left="420" w:hanging="360"/>
      </w:p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0FD243B"/>
    <w:multiLevelType w:val="hybridMultilevel"/>
    <w:tmpl w:val="167ACEE6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829362C"/>
    <w:multiLevelType w:val="hybridMultilevel"/>
    <w:tmpl w:val="64AA69FA"/>
    <w:lvl w:ilvl="0" w:tplc="933CED2C">
      <w:start w:val="1"/>
      <w:numFmt w:val="low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686B2F7A"/>
    <w:multiLevelType w:val="hybridMultilevel"/>
    <w:tmpl w:val="DF50A1A8"/>
    <w:lvl w:ilvl="0" w:tplc="041A000F">
      <w:start w:val="1"/>
      <w:numFmt w:val="decimal"/>
      <w:lvlText w:val="%1."/>
      <w:lvlJc w:val="left"/>
      <w:pPr>
        <w:ind w:left="420" w:hanging="360"/>
      </w:pPr>
    </w:lvl>
    <w:lvl w:ilvl="1" w:tplc="041A0003">
      <w:numFmt w:val="decimal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numFmt w:val="decimal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numFmt w:val="decimal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numFmt w:val="decimal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numFmt w:val="decimal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numFmt w:val="decimal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numFmt w:val="decimal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numFmt w:val="decimal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9A4853"/>
    <w:multiLevelType w:val="hybridMultilevel"/>
    <w:tmpl w:val="9EC0D06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4907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6171952">
    <w:abstractNumId w:val="2"/>
  </w:num>
  <w:num w:numId="3" w16cid:durableId="2124038186">
    <w:abstractNumId w:val="5"/>
  </w:num>
  <w:num w:numId="4" w16cid:durableId="1151872445">
    <w:abstractNumId w:val="0"/>
  </w:num>
  <w:num w:numId="5" w16cid:durableId="1586063365">
    <w:abstractNumId w:val="3"/>
  </w:num>
  <w:num w:numId="6" w16cid:durableId="995575491">
    <w:abstractNumId w:val="4"/>
  </w:num>
  <w:num w:numId="7" w16cid:durableId="248466045">
    <w:abstractNumId w:val="5"/>
  </w:num>
  <w:num w:numId="8" w16cid:durableId="110973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0111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8044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908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F9"/>
    <w:rsid w:val="000131D5"/>
    <w:rsid w:val="00030E5E"/>
    <w:rsid w:val="000E2E8F"/>
    <w:rsid w:val="001209F9"/>
    <w:rsid w:val="003B73BA"/>
    <w:rsid w:val="00561956"/>
    <w:rsid w:val="007D2638"/>
    <w:rsid w:val="00917EBD"/>
    <w:rsid w:val="009209BC"/>
    <w:rsid w:val="00936D44"/>
    <w:rsid w:val="00A6614D"/>
    <w:rsid w:val="00A90FFA"/>
    <w:rsid w:val="00AF1251"/>
    <w:rsid w:val="00BA6D34"/>
    <w:rsid w:val="00C76934"/>
    <w:rsid w:val="00CC229C"/>
    <w:rsid w:val="00CE122F"/>
    <w:rsid w:val="00DC6535"/>
    <w:rsid w:val="00E102DC"/>
    <w:rsid w:val="00FA029B"/>
    <w:rsid w:val="00FD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F9AF2"/>
  <w15:docId w15:val="{D028298A-44E4-473C-ACE0-9B37647B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1439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43962"/>
    <w:rPr>
      <w:rFonts w:ascii="Arial" w:hAnsi="Arial" w:cs="Arial"/>
      <w:color w:val="000000"/>
      <w:sz w:val="24"/>
      <w:szCs w:val="24"/>
    </w:rPr>
  </w:style>
  <w:style w:type="paragraph" w:styleId="Podnoje">
    <w:name w:val="footer"/>
    <w:basedOn w:val="Normal"/>
    <w:link w:val="PodnojeChar"/>
    <w:rsid w:val="001439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43962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AZJMDCZ6QSYZ-1849078857-35783</_dlc_DocId>
    <_dlc_DocIdUrl xmlns="a494813a-d0d8-4dad-94cb-0d196f36ba15">
      <Url>https://ekoordinacije.vlada.hr/koordinacija-gospodarstvo/_layouts/15/DocIdRedir.aspx?ID=AZJMDCZ6QSYZ-1849078857-35783</Url>
      <Description>AZJMDCZ6QSYZ-1849078857-35783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33A13B-56F9-4A07-925E-AC418D3710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AACF80-7923-4394-A2AB-5F8AB29ED3BA}"/>
</file>

<file path=customXml/itemProps3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FE8F4-FCD5-41EE-993E-264E800A2A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Krunoslava Marković</cp:lastModifiedBy>
  <cp:revision>11</cp:revision>
  <cp:lastPrinted>2023-12-08T09:56:00Z</cp:lastPrinted>
  <dcterms:created xsi:type="dcterms:W3CDTF">2024-01-02T14:11:00Z</dcterms:created>
  <dcterms:modified xsi:type="dcterms:W3CDTF">2024-02-06T09:18:00Z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e1ff8033-7df8-44ec-a80b-64c4795cb492</vt:lpwstr>
  </property>
</Properties>
</file>